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PRIMARIA</w:t>
      </w: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1)</w:t>
      </w:r>
      <w:r w:rsidRPr="0015379D">
        <w:rPr>
          <w:rFonts w:eastAsia="Times New Roman" w:cstheme="minorHAnsi"/>
          <w:sz w:val="20"/>
          <w:szCs w:val="20"/>
          <w:lang w:eastAsia="it-IT"/>
        </w:rPr>
        <w:t>In base a quanto previsto dal D.lgs. n. 62/2017, per gli alunni frequentanti la scuola primaria la non ammissione alla classe successiva è disposta dai docenti di classe: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con decisione assunta all'unanimità solo in casi eccezionali e comprovati da specifica motivazione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con decisione assunta a maggioranza solo in casi eccezionali e comprovati da specifica motivazione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sempre in presenza di livelli di apprendimento parzialmente raggiunti o in via di prima acquisizione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nei soli casi di non validità dell’anno scolastico per mancata frequenza del monte orario personalizzato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2)</w:t>
      </w:r>
      <w:r w:rsidRPr="0015379D">
        <w:rPr>
          <w:rFonts w:eastAsia="Times New Roman" w:cstheme="minorHAnsi"/>
          <w:sz w:val="20"/>
          <w:szCs w:val="20"/>
          <w:lang w:eastAsia="it-IT"/>
        </w:rPr>
        <w:t>Quale delle seguenti funzioni della valutazione NON è riportata nelle Indicazioni nazionali per il curricolo del 2012?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Stimolo al miglioramento continuo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Accompagnamento dei processi di apprendimento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Valorizzazione del merito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Funzione formativa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3)</w:t>
      </w:r>
      <w:r w:rsidRPr="008E1A7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Ai sensi del D.lgs. n. 62/2017, la valutazione periodica e finale nel primo ciclo di istruzione è effettuata: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individualmente dai docenti contitolari della classe ovvero dal consiglio di classe in conformità con i criteri e le modalità definiti dal collegio dei docenti e inseriti nella programmazione educativa e didattica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collegialmente dai docenti contitolari della classe ovvero dal consiglio di classe in conformità con i criteri e le modalità definiti dal collegio dei docenti e inseriti nel PTOF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individualmente dai docenti contitolari della classe ovvero dal consiglio di classe in conformità con i criteri e le modalità definiti dal consiglio di classe e inseriti nella programmazione educativa e didattica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collegialmente dai docenti contitolari della classe ovvero dal consiglio di classe in conformità con i criteri e le modalità definiti dal consiglio di classe e inseriti nel Piano per l'inclusione scolastica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4)</w:t>
      </w:r>
      <w:r w:rsidRPr="008E1A7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 xml:space="preserve">Nel primo ciclo di istruzione, a norma del D.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>. n. 62/2017, le attività svolte nell'ambito dell'insegnamento di «Cittadinanza e Costituzione» sono oggetto di valutazione: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nell'ambito delle discipline dell'area storico-geografica, ai sensi dell'art. 1 della L. n. 169/2008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con l’attribuzione di uno specifico voto in decimi riportato nel documento di valutazione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con l’attribuzione di uno specifico giudizio sintetico riportato nel documento di valutazione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nell'ambito delle discipline linguistiche, ai sensi dell'art. 1 della L. n. 169/2008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5)</w:t>
      </w:r>
      <w:r w:rsidRPr="008E1A7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 docenti di sostegno partecipano alla valutazione periodica e finale, secondo quanto previsto dal D.lgs. n. 62/2017: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dei soli alunni disabili e con disturbi specifici dell'apprendimento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dei soli alunni disabili della classe di scuola primaria e secondaria di primo grado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fornendo elementi conoscitivi sull'interesse manifestato e sul profitto conseguito da ciascun alunno disabile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di tutti gli alunni della classe, sia nel primo che nel secondo ciclo di istruzione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6)</w:t>
      </w:r>
      <w:r w:rsidRPr="00A06FC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Per gli alunni con disabilità, certificata ai sensi della L. n. 104/1992, il modello nazionale di certificazione delle competenze rilasciato al termine della scuola primaria e del primo ciclo: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lastRenderedPageBreak/>
              <w:t>[a] può essere accompagnato, ove necessario, da una nota esplicativa che rapporti il significato degli enunciati di competenza agli obiettivi specifici del PEI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viene modificato dal consiglio di classe, adattando gli indicatori esplicativi dei livello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può essere modificato, ove necessario, adattando le competenze tratte dal Profilo dello studente al termine del primo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viene compilato parzialmente in riferimento alle competenze riconducibili agli obiettivi specifici del PEI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7)</w:t>
      </w:r>
      <w:r w:rsidRPr="0015379D">
        <w:rPr>
          <w:rFonts w:eastAsia="Times New Roman" w:cstheme="minorHAnsi"/>
          <w:sz w:val="20"/>
          <w:szCs w:val="20"/>
          <w:lang w:eastAsia="it-IT"/>
        </w:rPr>
        <w:t>Il modello nazionale per la certificazione delle competenze al termine della scuola primaria adottato con D.M. n. 742/2017: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ha la stessa struttura del modello nazionale per la certificazione delle competenze al termine del primo ciclo, ma le competenze tratte dal Profilo finale dello studente sono ridotte nel numero e semplificate linguisticamente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ha una struttura diversa rispetto al modello nazionale per la certificazione delle competenze al termine del primo ciclo, con competenze tratte dal Profilo finale dello studente al termine della scuola primaria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ha la medesima struttura del modello nazionale per la certificazione delle competenze al termine del primo ciclo, ma è adattabile a cura dell'istituzione scolastica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è identico al modello nazionale per la certificazione delle competenze al termine del primo ciclo sia nella struttura che nelle competenze tratte dal Profilo dello studente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8)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le Indicazioni nazionali per il curricolo del 2012, le verifiche intermedie e le valutazioni periodiche e finali devono essere coerenti: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con il Piano annuale dell’</w:t>
            </w:r>
            <w:proofErr w:type="spellStart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inclusività</w:t>
            </w:r>
            <w:proofErr w:type="spellEnd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con gli obiettivi e i traguardi previsti e declinati nel curricolo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con l’insegnamento di Cittadinanza e Costituzione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solo con le finalità generali del curricolo della scuola primaria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9)</w:t>
      </w:r>
      <w:r w:rsidRPr="0015379D">
        <w:rPr>
          <w:rFonts w:eastAsia="Times New Roman" w:cstheme="minorHAnsi"/>
          <w:sz w:val="20"/>
          <w:szCs w:val="20"/>
          <w:lang w:eastAsia="it-IT"/>
        </w:rPr>
        <w:t>Con l’attuazione dell’autonomia scolastica, ai sensi del D.P.R. n. 275/1999, è stata abrogata la norma che prevedeva: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la valutazione con l’attribuzione di giudizi sintetici nella scuola elementare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la valutazione in decimi nella scuola secondaria di secondo grado, compreso il comportamento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[c] il modello nazionale di scheda di valutazione per gli alunni frequentanti la scuola elementare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il modello di scheda nazionale di valutazione per gli alunni con disabilità frequentanti la scuola media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10)</w:t>
      </w:r>
      <w:r w:rsidRPr="0015379D">
        <w:rPr>
          <w:rFonts w:eastAsia="Times New Roman" w:cstheme="minorHAnsi"/>
          <w:sz w:val="20"/>
          <w:szCs w:val="20"/>
          <w:lang w:eastAsia="it-IT"/>
        </w:rPr>
        <w:t>La certificazione finale delle competenze degli alunni al termine della scuola primaria e del primo ciclo è rilasciata, a norma del D.M. 742/2017:</w:t>
      </w: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sul modello adottato con il D.M. 9/2010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su modelli predisposti dall'istituzione scolastica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su modelli predisposti dall'Ufficio scolastico regionale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[d] su modelli nazionali 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11)</w:t>
      </w:r>
      <w:r w:rsidRPr="0015379D">
        <w:rPr>
          <w:rFonts w:eastAsia="Times New Roman" w:cstheme="minorHAnsi"/>
          <w:sz w:val="20"/>
          <w:szCs w:val="20"/>
          <w:lang w:eastAsia="it-IT"/>
        </w:rPr>
        <w:t>Ai sensi del D.P.R. n. 80/2013 la rendicontazione sociale delle scuole si realizza: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lastRenderedPageBreak/>
              <w:t>[a] nella pubblicazione, diffusione dei risultati raggiunti, attraverso indicatori e dati comparabili, sia in una dimensione di trasparenza sia in una dimensione di condivisione e promozione al miglioramento del servizio con la comunità di appartenenza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nella pubblicazione, diffusione del Rapporto di autovalutazione, sia in una dimensione di trasparenza sia in una dimensione di condivisione e promozione al miglioramento del servizio con la comunità di appartenenza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nella pubblicazione, diffusione del Piano triennale dell'offerta formativa, sia in una dimensione di trasparenza sia in una dimensione di condivisione e promozione al miglioramento del servizio con la comunità di appartenenza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nella pubblicazione, diffusione del Piano di miglioramento, sia in una dimensione di trasparenza sia in una dimensione di condivisione e promozione al miglioramento del servizio con la comunità di appartenenza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12)</w:t>
      </w:r>
      <w:r w:rsidRPr="0015379D">
        <w:rPr>
          <w:rFonts w:eastAsia="Times New Roman" w:cstheme="minorHAnsi"/>
          <w:sz w:val="20"/>
          <w:szCs w:val="20"/>
          <w:lang w:eastAsia="it-IT"/>
        </w:rPr>
        <w:t>In che rapporto sono misurazione e valutazione all'interno del processo valutativo?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Sono la stessa fase: la misurazione coincide con la valutazione in quanto l'operazione di rilevazione dei dati coincide con l'operazione di espressione di un giudizio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Sono due fasi distinte: la misurazione è l'operazione di rilevazione dei dati attraverso strumenti di verifica; la valutazione è l'operazione di espressione di un giudizio rispetto a quanto è stato accertato in base a criteri prefissati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Sono due fasi distinte: la misurazione è l'operazione di espressione di un giudizio rispetto a quanto è stato accertato in base a criteri prefissati; la valutazione è l'operazione di rilevazione dei dati attraverso strumenti di verifica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Sono due fasi distinte: la valutazione precede logicamente la misurazione in quanto è l'operazione di determinazione dei criteri e delle modalità per la rilevazione dei dati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13)</w:t>
      </w:r>
      <w:r w:rsidRPr="0015379D">
        <w:rPr>
          <w:rFonts w:eastAsia="Times New Roman" w:cstheme="minorHAnsi"/>
          <w:sz w:val="20"/>
          <w:szCs w:val="20"/>
          <w:lang w:eastAsia="it-IT"/>
        </w:rPr>
        <w:t xml:space="preserve">Secondo quanto previsto dal D.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>. n. 62/2017, le conoscenze e competenze maturate dal candidato nell'ambito delle attività relative a «Cittadinanza e Costituzione» sono accertate, durante lo svolgimento dell'esame di Stato: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nel corso del colloquio per l'esame di Stato conclusivo del primo ciclo e del secondo ciclo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con una specifica prova scritta elaborata a cura della Commissione d'esame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nell'ambito della prova nazionale di italiano predisposta da Invalsi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con una prova scritta predisposta dalla struttura tecnica per l'esame di Stato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14)</w:t>
      </w:r>
      <w:r w:rsidRPr="0015379D">
        <w:rPr>
          <w:rFonts w:eastAsia="Times New Roman" w:cstheme="minorHAnsi"/>
          <w:sz w:val="20"/>
          <w:szCs w:val="20"/>
          <w:lang w:eastAsia="it-IT"/>
        </w:rPr>
        <w:t>In quali classi sono previste, a regime, le rilevazioni nazionali periodiche sugli apprendimenti e sulle competenze degli studenti predisposte e organizzate dall'Invalsi, ai sensi del D.lgs. n. 62/2017?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Seconda e quinta della scuola primaria, terza della secondaria di primo grado, seconda e ultima della secondaria di secondo grado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Seconda e quinta della scuola primaria, prima e terza della secondaria di primo grado, seconda e ultima della secondaria di secondo grado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Quinta della scuola primaria, terza della secondaria di primo grado, seconda e ultima della secondaria di secondo grado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Seconda e quinta della scuola primaria, prima e terza della secondaria di primo grado, prima e ultima della secondaria di secondo grado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>15:</w:t>
      </w:r>
      <w:r w:rsidRPr="00D813CB">
        <w:t xml:space="preserve"> 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Il</w:t>
      </w:r>
      <w:proofErr w:type="gram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Regolamento sul sistema nazionale di valutazione in materia di istruzione e formazione è stato emanato con: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D.lgs. n. 286/2004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Direttiva n. 11/2014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D.lgs. n. 62/2017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</w:t>
            </w: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.P.R. n. 80/2013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16)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Quali norme hanno definito la natura giuridica e le competenze dell'Istituto nazionale di valutazione del sistema educativo di istruzione e di formazione?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D.lgs. n. 286/2004 e L. n. 296/2006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[b] </w:t>
            </w:r>
            <w:proofErr w:type="spellStart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D.lgs</w:t>
            </w:r>
            <w:proofErr w:type="spellEnd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n. 258/1999 e L. n. 59/1999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D.P.R. n. 80/2013 e Direttiva n. 11/2004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D.lgs. n. 213/2009 e D.P.R. n. 80/2013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17)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La Direttiva ministeriale per l'individuazione delle priorità strategiche della valutazione del sistema educativo di istruzione e formazione, prevista dall'art. 2, comma 3 del D.P.R. n. 80/2013, ha periodicità: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biennale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triennale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[c] almeno triennale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almeno biennale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18)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Il D.lgs. n. 62/2017 disciplina: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le modalità di rilascio della certificazione delle competenze adottando i relativi modelli nazionali per il primo e per il secondo ciclo di istruzione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la valutazione e la certificazione delle competenze nel primo e nel secondo ciclo di istruzione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esclusivamente gli esami di Stato nel primo 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la valutazione e la certificazione delle competenze nel primo ciclo e gli esami di Stato nel primo e nel secondo ciclo di istruzione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19)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A seguito dell'entrata in vigore del D.lgs. n. 62/2017, il D.P.R. n. 122/2009: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è stato parzialmente abrogato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è stato interamente abrogato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rimane integralmente vigente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rimane vigente solo in riferimento all'articolo 1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20)</w:t>
      </w:r>
      <w:r w:rsidRPr="003E0A1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La valutazione del comportamento nel primo ciclo di istruzione viene espressa, ai sensi del D.lgs. n. 62/2017:</w:t>
      </w:r>
    </w:p>
    <w:p w:rsidR="00706DAD" w:rsidRPr="0015379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da ciascun docente attraverso un giudizio globale riportato nella certificazione delle competenze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collegialmente dai docenti attraverso un voto in decimi riportato nel documento di valutazione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collegialmente dai docenti attraverso un giudizio descrittivo delle competenze di cittadinanza maturate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[d] collegialmente dai docenti attraverso un giudizio sintetico riportato nel documento di valutazione 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21)</w:t>
      </w:r>
      <w:r w:rsidRPr="0015379D">
        <w:rPr>
          <w:rFonts w:eastAsia="Times New Roman" w:cstheme="minorHAnsi"/>
          <w:sz w:val="20"/>
          <w:szCs w:val="20"/>
          <w:lang w:eastAsia="it-IT"/>
        </w:rPr>
        <w:t>Nell'anno scolastico 2017-2018 l'Invalsi ha curato la somministrazione di prove relative a: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lastRenderedPageBreak/>
              <w:t>[a] italiano e matematica CBT nelle classi seconde della scuola primaria; italiano e matematica nelle classi quinte della scuola primaria; italiano, inglese e matematica CBT nelle classi terze della scuola secondaria di primo grado; italiano e matematica CBT nelle classi seconde della secondaria di secondo grado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[b] italiano e matematica nelle classi seconde della scuola primaria; italiano, inglese e matematica nelle classi quinte della scuola primaria; italiano, inglese e matematica CBT nelle classi terze della scuola secondaria di primo grado; italiano e matematica CBT nelle classi seconde della secondaria di secondo grado 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italiano e matematica nelle classi seconde della scuola primaria; italiano, inglese e matematica CBT nelle classi quinte della scuola primaria; italiano, inglese e matematica nelle classi terze della scuola secondaria di primo grado; italiano e matematica CBT nelle classi seconde della secondaria di secondo grado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italiano, inglese e matematica nelle classi seconde della scuola primaria; italiano, inglese e matematica nelle classi quinte della scuola primaria; italiano, inglese e matematica CBT nelle classi terze della scuola secondaria di primo grado; italiano, inglese e matematica CBT nelle classi seconde della secondaria di secondo grado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22)</w:t>
      </w:r>
      <w:r w:rsidRPr="0015379D">
        <w:rPr>
          <w:rFonts w:eastAsia="Times New Roman" w:cstheme="minorHAnsi"/>
          <w:sz w:val="20"/>
          <w:szCs w:val="20"/>
          <w:lang w:eastAsia="it-IT"/>
        </w:rPr>
        <w:t>Quale tra i seguenti NON è tra i criteri previsti dal D.lgs. n. 66/2017 per la definizione di indicatori per la valutazione della qualità dell'inclusione scolastica a cura dell'Invalsi?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numero di Piani educativi individualizzati e di Piani didattici personalizzati redatti annualmente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[b] livello di </w:t>
            </w:r>
            <w:proofErr w:type="spellStart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inclusività</w:t>
            </w:r>
            <w:proofErr w:type="spellEnd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del Piano triennale dell'offerta formativa come concretizzato nel Piano per l'inclusione scolastica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livello di coinvolgimento dei diversi soggetti nell'elaborazione del Piano per l'inclusione e nell'attuazione dei processi di inclusione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realizzazione di iniziative finalizzate alla valorizzazione delle competenze professionali del personale della scuola incluse le specifiche attività formative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23)</w:t>
      </w:r>
      <w:r w:rsidRPr="0015379D">
        <w:rPr>
          <w:rFonts w:eastAsia="Times New Roman" w:cstheme="minorHAnsi"/>
          <w:sz w:val="20"/>
          <w:szCs w:val="20"/>
          <w:lang w:eastAsia="it-IT"/>
        </w:rPr>
        <w:t>I docenti di sostegno partecipano alla valutazione periodica e finale, secondo quanto previsto dal D.lgs. n. 62/2017: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di tutti gli alunni della classe, sia nel primo che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dei soli alunni disabili della classe di scuola primaria e secondaria di primo grado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fornendo elementi conoscitivi sull'interesse manifestato e sul profitto conseguito da ciascun alunno disabile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dei soli alunni disabili e con disturbi specifici dell'apprendimento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24)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quando disposto dal D.lgs. n. 62/2017, gli alunni frequentanti scuole non paritarie del primo ciclo iscritte negli albi regionali: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sostengono l’esame di idoneità al termine di ciascun anno di scuola secondaria di primo grado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sostengono annualmente l’esame di idoneità fino all'assolvimento dell’obbligo di istruzione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sostengono l’esame di idoneità al termine del quinto anno di scuola primaria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sostengono l’esame di idoneità ogni due anni scolastici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Pr="00F02E1B" w:rsidRDefault="00706DAD" w:rsidP="00706DAD">
      <w:pPr>
        <w:rPr>
          <w:rFonts w:eastAsia="Times New Roman" w:cstheme="minorHAnsi"/>
          <w:b/>
          <w:sz w:val="20"/>
          <w:szCs w:val="20"/>
          <w:lang w:eastAsia="it-IT"/>
        </w:rPr>
      </w:pPr>
      <w:r w:rsidRPr="00F02E1B">
        <w:rPr>
          <w:rFonts w:eastAsia="Times New Roman" w:cstheme="minorHAnsi"/>
          <w:b/>
          <w:sz w:val="20"/>
          <w:szCs w:val="20"/>
          <w:lang w:eastAsia="it-IT"/>
        </w:rPr>
        <w:t>SCUOLA DELL’INFANZIA</w:t>
      </w: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1.</w:t>
      </w:r>
      <w:r w:rsidRPr="0015379D">
        <w:rPr>
          <w:rFonts w:eastAsia="Times New Roman" w:cstheme="minorHAnsi"/>
          <w:sz w:val="20"/>
          <w:szCs w:val="20"/>
          <w:lang w:eastAsia="it-IT"/>
        </w:rPr>
        <w:t>Nel modello sperimentale di RAV per le scuole dell’infanzia i risultati a distanza sono riferiti: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ai risultati conseguiti dai bambini durante il percorso scolastico successivo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alla percentuale di bambini iscritti in anticipo alla scuola primaria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alla percentuale di bambini che si avvalgono dell’istruzione parentale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ai bambini con cittadinanza non italiana che si iscrivono alla scuola primaria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2.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le Indicazioni nazionali per il curricolo del 2012, “al termine del percorso triennale della scuola dell’infanzia, è ragionevole attendersi che ogni bambino abbia sviluppato alcune competenze di base”. Quale, tra le seguenti, è indicata tra le competenze di base?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Esplora i primi alfabeti musicali, utilizzando anche i simboli di una notazione informale per codificare i suoni percepiti e riprodurli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Sperimenta rime, filastrocche, drammatizzazioni; inventa nuove parole, cerca somiglianze e analogie tra i suoni e i significati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[c] Ha sviluppato l’attitudine a porre e a porsi domande di senso su questioni etiche e morali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Riconosce il proprio corpo, le sue diverse parti e rappresenta il corpo fermo e in movimento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3.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le Indicazioni nazionali per il curricolo del 2012, l’osservazione, nelle sue diverse modalità, rappresenta per il docente di scuola dell’infanzia: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un elemento per organizzare attività ed esperienze volte a valutare la competenza linguistica nei bambini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un fattore di qualità pedagogica dell’ambiente educativo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un criterio per dare intenzionalità a spazi, tempi, routine e attività, promuovendo un coerente contesto educativo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[d] uno strumento fondamentale per conoscere e accompagnare il bambino in tutte le sue dimensioni di sviluppo 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4.</w:t>
      </w:r>
      <w:r w:rsidRPr="0015379D">
        <w:rPr>
          <w:rFonts w:eastAsia="Times New Roman" w:cstheme="minorHAnsi"/>
          <w:sz w:val="20"/>
          <w:szCs w:val="20"/>
          <w:lang w:eastAsia="it-IT"/>
        </w:rPr>
        <w:t>I modelli nazionali di certificazione delle competenze al termine della scuola primaria e del primo ciclo di istruzione sono adottati: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con D.M. n. 742/2017 da tutte le istituzioni scolastiche statali e paritarie del primo ciclo di istruzione a partire dall'anno scolastico 2017/2018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dalle istituzioni scolastiche statali e paritarie del primo ciclo di istruzione che hanno aderito alla sperimentazione della certificazione delle competenze ai sensi della C.M. n. 3/2015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con D.M. n. 742/2017 da tutte le istituzioni scolastiche statali e paritarie del primo ciclo di istruzione a partire dall'anno scolastico 2018/2019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con D.M. n. 741/2017 da tutte le istituzioni scolastiche statali e paritarie del primo ciclo di istruzione a partire dall'anno scolastico 2017/2018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5.</w:t>
      </w:r>
      <w:r w:rsidRPr="0015379D">
        <w:rPr>
          <w:rFonts w:eastAsia="Times New Roman" w:cstheme="minorHAnsi"/>
          <w:sz w:val="20"/>
          <w:szCs w:val="20"/>
          <w:lang w:eastAsia="it-IT"/>
        </w:rPr>
        <w:t>Nell'ambito della valutazione dell'efficacia educativa dei servizi per l'infanzia, che tipo di informazioni NON dovrebbero essere restituiti ai servizi, secondo il documento della Commissione europea "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Proposal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for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key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principals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of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Quality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Framework for ECEC" del 2014?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lastRenderedPageBreak/>
              <w:t>[a] Informazioni inerenti gli esiti di apprendimento dei bambini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Informazioni inerenti la progettazione curricolare e l'approccio pedagogico adottato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Informazioni inerenti la leadership pedagogica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Informazioni inerenti le relazioni tra educatori/insegnanti e bambini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6.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le "Linee guida per la certificazione delle competenze nel primo ciclo di istruzione" del 2018, quale delle seguenti affermazioni NON è riferita alla valutazione formativa?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Sostiene e potenzia il processo di apprendimento dell’alunno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Accerta il possesso di conoscenze, abilità e competenze, concentrandosi sul prodotto finale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[c] Contribuisce a sviluppare nell'alunno un’azione di </w:t>
            </w:r>
            <w:proofErr w:type="spellStart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autoorientamento</w:t>
            </w:r>
            <w:proofErr w:type="spellEnd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e di autovalutazione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Riconosce ed evidenzia i progressi compiuti dall'alunno nel suo percorso di apprendimento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7.</w:t>
      </w:r>
      <w:r w:rsidRPr="0015379D">
        <w:rPr>
          <w:rFonts w:eastAsia="Times New Roman" w:cstheme="minorHAnsi"/>
          <w:sz w:val="20"/>
          <w:szCs w:val="20"/>
          <w:lang w:eastAsia="it-IT"/>
        </w:rPr>
        <w:t>Per il bambino che frequenta la scuola dell’infanzia, secondo le vigenti Indicazioni nazionali per il curricolo del 2012, la competenza va intesa: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in modo interdisciplinare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in modo unitario e globale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con riferimento agli obiettivi specifici di apprendimento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con riferimento ai soli sistemi simbolici della cultura italiana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8.</w:t>
      </w:r>
      <w:r w:rsidRPr="0015379D">
        <w:rPr>
          <w:rFonts w:eastAsia="Times New Roman" w:cstheme="minorHAnsi"/>
          <w:sz w:val="20"/>
          <w:szCs w:val="20"/>
          <w:lang w:eastAsia="it-IT"/>
        </w:rPr>
        <w:t>Secondo il modello sperimentale di RAV per le scuole dell’infanzia, gli esiti sono riferiti: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al benessere, allo sviluppo e all'apprendimento dei bambini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ai risultati di test cognitivi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al campo di esperienza “il sé e l’altro”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al campo di esperienza “i discorsi e le parole”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9.</w:t>
      </w:r>
      <w:r w:rsidRPr="0036201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In che rapporto sono misurazione e valutazione all'interno del processo valutativo?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Sono due fasi distinte: la misurazione è l'operazione di espressione di un giudizio rispetto a quanto è stato accertato in base a criteri prefissati; la valutazione è l'operazione di rilevazione dei dati attraverso strumenti di verifica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Sono la stessa fase: la misurazione coincide con la valutazione in quanto l'operazione di rilevazione dei dati coincide con l'operazione di espressione di un giudizio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Sono due fasi distinte: la misurazione è l'operazione di rilevazione dei dati attraverso strumenti di verifica; la valutazione è l'operazione di espressione di un giudizio rispetto a quanto è stato accertato in base a criteri prefissati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Sono due fasi distinte: la valutazione precede logicamente la misurazione in quanto è l'operazione di determinazione dei criteri e delle modalità per la rilevazione dei dati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10)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Il Regolamento sul sistema nazionale di valutazione in materia di istruzione e formazione è stato emanato con: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Direttiva n. 11/2014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D.P.R. n. 80/2013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D.lgs. n. 62/2017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D.lgs. n. 286/2004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11)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Quali norme hanno definito la natura giuridica e le competenze dell'Istituto nazionale di valutazione del sistema educativo di istruzione e di formazione?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lastRenderedPageBreak/>
              <w:t>[a] D.lgs. n. 286/2004 e L. n. 296/2006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[b] </w:t>
            </w:r>
            <w:proofErr w:type="spellStart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D.lgs</w:t>
            </w:r>
            <w:proofErr w:type="spellEnd"/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n. 258/1999 e L. n. 59/1999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D.P.R. n. 80/2013 e Direttiva n. 11/2004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D.lgs. n. 213/2009 e D.P.R. n. 80/2013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12)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La Direttiva ministeriale per l'individuazione delle priorità strategiche della valutazione del sistema educativo di istruzione e formazione, prevista dall'art. 2, comma 3 del D.P.R. n. 80/2013, ha periodicità: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biennale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triennale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[c] almeno triennale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almeno biennale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13)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Il D.lgs. n. 62/2017 disciplina: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la valutazione e la certificazione delle competenze nel primo ciclo e gli esami di Stato nel primo 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la valutazione e la certificazione delle competenze nel primo e nel secondo ciclo di istruzione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esclusivamente gli esami di Stato nel primo 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le modalità di rilascio della certificazione delle competenze adottando i relativi modelli nazionali per il primo e per il secondo ciclo di istruzione</w:t>
            </w:r>
          </w:p>
        </w:tc>
      </w:tr>
    </w:tbl>
    <w:p w:rsidR="00706DAD" w:rsidRDefault="00706DAD" w:rsidP="00706DAD"/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t>14)</w:t>
      </w:r>
      <w:r w:rsidRPr="008710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15379D">
        <w:rPr>
          <w:rFonts w:eastAsia="Times New Roman" w:cstheme="minorHAnsi"/>
          <w:sz w:val="20"/>
          <w:szCs w:val="20"/>
          <w:lang w:eastAsia="it-IT"/>
        </w:rPr>
        <w:t>A seguito dell'entrata in vigore del D.lgs. n. 62/2017, il D.P.R. n. 122/2009: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è stato interamente abrogato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è stato parzialmente abrogato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rimane integralmente vigente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rimane vigente solo in riferimento all'articolo 1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15)</w:t>
      </w:r>
      <w:r w:rsidRPr="0015379D">
        <w:rPr>
          <w:rFonts w:eastAsia="Times New Roman" w:cstheme="minorHAnsi"/>
          <w:sz w:val="20"/>
          <w:szCs w:val="20"/>
          <w:lang w:eastAsia="it-IT"/>
        </w:rPr>
        <w:t>I docenti di sostegno partecipano alla valutazione periodica e finale, secondo quanto previsto dal D.lgs. n. 62/2017: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di tutti gli alunni della classe, sia nel primo che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dei soli alunni disabili della classe di scuola primaria e secondaria di primo grado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fornendo elementi conoscitivi sull'interesse manifestato e sul profitto conseguito da ciascun alunno disabile nel secondo ciclo di istruzione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dei soli alunni disabili e con disturbi specifici dell'apprendimento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16)</w:t>
      </w:r>
      <w:r w:rsidRPr="0015379D">
        <w:rPr>
          <w:rFonts w:eastAsia="Times New Roman" w:cstheme="minorHAnsi"/>
          <w:sz w:val="20"/>
          <w:szCs w:val="20"/>
          <w:lang w:eastAsia="it-IT"/>
        </w:rPr>
        <w:t>Quali delle seguenti sono tipologie di prove strutturate?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Quesiti a scelta multipla, questionari di comprensione, riordinamenti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Quesiti a scelta multipla, confronti e corrispondenze, riordinamenti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Quesiti a scelta obbligata, questionari di comprensione, riordinamenti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Quesiti a scelta obbligata, riordinamenti, quesiti a risposta libera</w:t>
            </w:r>
          </w:p>
        </w:tc>
      </w:tr>
    </w:tbl>
    <w:p w:rsidR="00706DAD" w:rsidRDefault="00706DAD" w:rsidP="00706DAD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17)</w:t>
      </w:r>
      <w:r w:rsidRPr="0015379D">
        <w:rPr>
          <w:rFonts w:eastAsia="Times New Roman" w:cstheme="minorHAnsi"/>
          <w:sz w:val="20"/>
          <w:szCs w:val="20"/>
          <w:lang w:eastAsia="it-IT"/>
        </w:rPr>
        <w:t xml:space="preserve">Le prove </w:t>
      </w:r>
      <w:proofErr w:type="spellStart"/>
      <w:r w:rsidRPr="0015379D">
        <w:rPr>
          <w:rFonts w:eastAsia="Times New Roman" w:cstheme="minorHAnsi"/>
          <w:sz w:val="20"/>
          <w:szCs w:val="20"/>
          <w:lang w:eastAsia="it-IT"/>
        </w:rPr>
        <w:t>semistrutturate</w:t>
      </w:r>
      <w:proofErr w:type="spellEnd"/>
      <w:r w:rsidRPr="0015379D">
        <w:rPr>
          <w:rFonts w:eastAsia="Times New Roman" w:cstheme="minorHAnsi"/>
          <w:sz w:val="20"/>
          <w:szCs w:val="20"/>
          <w:lang w:eastAsia="it-IT"/>
        </w:rPr>
        <w:t xml:space="preserve"> sono costituite da:</w:t>
      </w:r>
    </w:p>
    <w:p w:rsidR="00706DAD" w:rsidRPr="0015379D" w:rsidRDefault="00706DAD" w:rsidP="00706DAD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[a] quesiti determinati e chiusi che prevedono una risposta aperta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stimoli aperti con svolgimento libero e non prevedibile e preordinato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quesiti con domande a risposta aperta o chiusa che prevedono un risultato univoco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quesiti costruiti secondo i protocolli standardizzati Invalsi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lastRenderedPageBreak/>
        <w:t>18)</w:t>
      </w:r>
      <w:r w:rsidRPr="0015379D">
        <w:rPr>
          <w:rFonts w:eastAsia="Times New Roman" w:cstheme="minorHAnsi"/>
          <w:sz w:val="20"/>
          <w:szCs w:val="20"/>
          <w:lang w:eastAsia="it-IT"/>
        </w:rPr>
        <w:t>Quali dei seguenti effetti NON è una distorsione della valutazione scolastica?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134"/>
        <w:gridCol w:w="2133"/>
        <w:gridCol w:w="2134"/>
      </w:tblGrid>
      <w:tr w:rsidR="00706DAD" w:rsidRPr="0015379D" w:rsidTr="003F183A">
        <w:trPr>
          <w:cantSplit/>
        </w:trPr>
        <w:tc>
          <w:tcPr>
            <w:tcW w:w="2048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[a] Effetto della distribuzione forzata dei risultati 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[b] Effetto alone</w:t>
            </w:r>
          </w:p>
        </w:tc>
        <w:tc>
          <w:tcPr>
            <w:tcW w:w="2133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[c] Effetto Pigmalione</w:t>
            </w:r>
          </w:p>
        </w:tc>
        <w:tc>
          <w:tcPr>
            <w:tcW w:w="2134" w:type="dxa"/>
            <w:vAlign w:val="center"/>
            <w:hideMark/>
          </w:tcPr>
          <w:p w:rsidR="00706DAD" w:rsidRPr="0015379D" w:rsidRDefault="00706DAD" w:rsidP="003F18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15379D">
              <w:rPr>
                <w:rFonts w:eastAsia="Times New Roman" w:cstheme="minorHAnsi"/>
                <w:sz w:val="20"/>
                <w:szCs w:val="20"/>
                <w:lang w:eastAsia="it-IT"/>
              </w:rPr>
              <w:t>[d] Effetto scuola</w:t>
            </w:r>
          </w:p>
        </w:tc>
      </w:tr>
    </w:tbl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19)</w:t>
      </w: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706DAD" w:rsidRDefault="00706DAD" w:rsidP="00706DAD">
      <w:pPr>
        <w:rPr>
          <w:rFonts w:eastAsia="Times New Roman" w:cstheme="minorHAnsi"/>
          <w:sz w:val="20"/>
          <w:szCs w:val="20"/>
          <w:lang w:eastAsia="it-IT"/>
        </w:rPr>
      </w:pPr>
    </w:p>
    <w:p w:rsidR="00202A86" w:rsidRDefault="00202A86">
      <w:bookmarkStart w:id="0" w:name="_GoBack"/>
      <w:bookmarkEnd w:id="0"/>
    </w:p>
    <w:sectPr w:rsidR="00202A86" w:rsidSect="00706DAD">
      <w:pgSz w:w="9639" w:h="13608" w:code="285"/>
      <w:pgMar w:top="652" w:right="851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D"/>
    <w:rsid w:val="00202A86"/>
    <w:rsid w:val="007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046C-CBAE-4C77-80B8-3E1833B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D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2019-03-02T11:35:00Z</dcterms:created>
  <dcterms:modified xsi:type="dcterms:W3CDTF">2019-03-02T11:36:00Z</dcterms:modified>
</cp:coreProperties>
</file>